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99" w:line="259" w:lineRule="auto"/>
        <w:ind w:left="10" w:right="115"/>
        <w:jc w:val="center"/>
      </w:pPr>
      <w:bookmarkStart w:id="0" w:name="_GoBack"/>
      <w:bookmarkEnd w:id="0"/>
      <w:r>
        <w:rPr>
          <w:sz w:val="26"/>
        </w:rPr>
        <w:t>Протокол совещания рабочей группы Общественной палаты города Нижнего</w:t>
      </w:r>
    </w:p>
    <w:p>
      <w:pPr>
        <w:spacing w:after="457" w:line="331" w:lineRule="auto"/>
        <w:ind w:left="2651" w:right="2670"/>
        <w:jc w:val="center"/>
      </w:pPr>
      <w:r>
        <w:rPr>
          <w:sz w:val="26"/>
        </w:rPr>
        <w:t>Новгорода по архитектуре и градостроительству</w:t>
      </w:r>
    </w:p>
    <w:p>
      <w:pPr>
        <w:tabs>
          <w:tab w:val="right" w:pos="9403"/>
        </w:tabs>
        <w:spacing w:after="569"/>
        <w:ind w:left="0" w:firstLine="0"/>
      </w:pPr>
      <w:r>
        <w:t>19.03.2018</w:t>
      </w:r>
      <w:r>
        <w:tab/>
        <w:t>г.Н.Новгород</w:t>
      </w:r>
    </w:p>
    <w:p>
      <w:pPr>
        <w:spacing w:after="75" w:line="271" w:lineRule="auto"/>
        <w:ind w:left="14" w:right="43" w:firstLine="0"/>
        <w:jc w:val="both"/>
      </w:pPr>
      <w:r>
        <w:rPr>
          <w:sz w:val="26"/>
        </w:rPr>
        <w:t>Присутствовали:</w:t>
      </w:r>
    </w:p>
    <w:p>
      <w:pPr>
        <w:spacing w:line="406" w:lineRule="auto"/>
        <w:ind w:left="43"/>
      </w:pPr>
      <w:r>
        <w:t>Члены общественной палаты города Нижнего Новгорода: Данилов, Ершова, Иванов, Один; Приглашённые эксперты и члены городского совета: Джабазян, Майершин, Никоненкова,</w:t>
      </w:r>
    </w:p>
    <w:p>
      <w:pPr>
        <w:spacing w:after="113"/>
        <w:ind w:left="43"/>
      </w:pPr>
      <w:r>
        <w:t>Серебрякова, Симаков, Умяров, Чернышев.</w:t>
      </w:r>
    </w:p>
    <w:p>
      <w:pPr>
        <w:spacing w:after="111" w:line="271" w:lineRule="auto"/>
        <w:ind w:left="864" w:right="43" w:firstLine="0"/>
        <w:jc w:val="both"/>
      </w:pPr>
      <w:r>
        <w:rPr>
          <w:sz w:val="26"/>
        </w:rPr>
        <w:t>Принятые решения и поручения:</w:t>
      </w:r>
    </w:p>
    <w:p>
      <w:pPr>
        <w:numPr>
          <w:ilvl w:val="0"/>
          <w:numId w:val="1"/>
        </w:numPr>
        <w:spacing w:after="3" w:line="271" w:lineRule="auto"/>
        <w:ind w:right="43" w:firstLine="845"/>
        <w:jc w:val="both"/>
      </w:pPr>
      <w:r>
        <w:rPr>
          <w:sz w:val="26"/>
        </w:rPr>
        <w:t>О подготовке открытого заседания рабочей группы 28.03.2019 в рамках заседания Общественной палаты города Нижнего Новгорода на тему «ТомСойерФест Нижний Новгород» в 2019 году.</w:t>
      </w:r>
    </w:p>
    <w:p>
      <w:pPr>
        <w:spacing w:after="32"/>
        <w:ind w:left="33" w:firstLine="874"/>
      </w:pPr>
      <w:r>
        <w:t>1.1. Принять к сведению информацию Иванова, Одина, Ершовой, Серебряковой, Джабазян о проводимой работе по организации фестиваля в этом году, в том числе:</w:t>
      </w:r>
    </w:p>
    <w:p>
      <w:pPr>
        <w:numPr>
          <w:ilvl w:val="0"/>
          <w:numId w:val="2"/>
        </w:numPr>
        <w:ind w:firstLine="850"/>
      </w:pPr>
      <w:r>
        <w:t>срок проведения фестиваля —с 01.06.2019 по .09.2019;</w:t>
      </w:r>
    </w:p>
    <w:p>
      <w:pPr>
        <w:numPr>
          <w:ilvl w:val="0"/>
          <w:numId w:val="2"/>
        </w:numPr>
        <w:spacing w:after="37"/>
        <w:ind w:firstLine="850"/>
      </w:pPr>
      <w:r>
        <w:lastRenderedPageBreak/>
        <w:t>объекты проведения фестиваля — дома по ул.Новая 20 и 22в, по ул.Короленко 16;</w:t>
      </w:r>
    </w:p>
    <w:p>
      <w:pPr>
        <w:numPr>
          <w:ilvl w:val="0"/>
          <w:numId w:val="2"/>
        </w:numPr>
        <w:spacing w:after="26"/>
        <w:ind w:firstLine="850"/>
      </w:pPr>
      <w:r>
        <w:t>в настоящий момент заказаны колерные паспорта на указанные объекты;</w:t>
      </w:r>
    </w:p>
    <w:p>
      <w:pPr>
        <w:numPr>
          <w:ilvl w:val="0"/>
          <w:numId w:val="2"/>
        </w:numPr>
        <w:spacing w:line="322" w:lineRule="auto"/>
        <w:ind w:firstLine="850"/>
      </w:pPr>
      <w:r>
        <w:t>общий бюджет мероприятия ориентировочно — 750 тыс.руб., из которых на 540 тыс.руб. уже есть договоренности о поддержке спонсоров;</w:t>
      </w:r>
    </w:p>
    <w:p>
      <w:pPr>
        <w:numPr>
          <w:ilvl w:val="0"/>
          <w:numId w:val="2"/>
        </w:numPr>
        <w:spacing w:after="30"/>
        <w:ind w:firstLine="850"/>
      </w:pPr>
      <w:r>
        <w:t>существует договоренность с фирмой Асгард и ННГАСУ о возможности проведения практики студентов ВУЗа в рамках работы на ТСФНН-2()19.</w:t>
      </w:r>
    </w:p>
    <w:p>
      <w:pPr>
        <w:spacing w:after="1" w:line="293" w:lineRule="auto"/>
        <w:ind w:left="23" w:right="23" w:firstLine="864"/>
        <w:jc w:val="both"/>
      </w:pPr>
      <w:r>
        <w:t>12. Рекомендовать на открытое заседание рабочей группы «Архитектурам и градостроительство» Общественной палаты города Нижнего Новгорода 28.03 2019 следующих представителей органов власти и общественных организаций:</w:t>
      </w:r>
    </w:p>
    <w:p>
      <w:pPr>
        <w:numPr>
          <w:ilvl w:val="0"/>
          <w:numId w:val="3"/>
        </w:numPr>
        <w:spacing w:after="30"/>
        <w:ind w:firstLine="855"/>
      </w:pPr>
      <w:r>
        <w:t>Мочкаев (глава администрации Нижегородского района);</w:t>
      </w:r>
    </w:p>
    <w:p>
      <w:pPr>
        <w:numPr>
          <w:ilvl w:val="0"/>
          <w:numId w:val="3"/>
        </w:numPr>
        <w:spacing w:line="320" w:lineRule="auto"/>
        <w:ind w:firstLine="855"/>
      </w:pPr>
      <w:r>
        <w:t>Петров (начальник Управления государственной охраны объектов культурного наследия Нижегородской области);</w:t>
      </w:r>
    </w:p>
    <w:p>
      <w:pPr>
        <w:numPr>
          <w:ilvl w:val="0"/>
          <w:numId w:val="3"/>
        </w:numPr>
        <w:spacing w:after="51"/>
        <w:ind w:firstLine="855"/>
      </w:pPr>
      <w:r>
        <w:t>Соловьев (начальник Управления административно-технического и муниципального контроля города Нижнего Новгорода);</w:t>
      </w:r>
    </w:p>
    <w:p>
      <w:pPr>
        <w:numPr>
          <w:ilvl w:val="0"/>
          <w:numId w:val="3"/>
        </w:numPr>
        <w:ind w:firstLine="855"/>
      </w:pPr>
      <w:r>
        <w:t>Кидрачев (помощник Главы города);</w:t>
      </w:r>
    </w:p>
    <w:p>
      <w:pPr>
        <w:numPr>
          <w:ilvl w:val="0"/>
          <w:numId w:val="3"/>
        </w:numPr>
        <w:spacing w:after="30"/>
        <w:ind w:firstLine="855"/>
      </w:pPr>
      <w:r>
        <w:t>Давыдова (Градозащитные движения «СпасГрад» и «Деревянные города»);</w:t>
      </w:r>
    </w:p>
    <w:p>
      <w:pPr>
        <w:numPr>
          <w:ilvl w:val="0"/>
          <w:numId w:val="3"/>
        </w:numPr>
        <w:spacing w:after="44"/>
        <w:ind w:firstLine="855"/>
      </w:pPr>
      <w:r>
        <w:t>Шумилкин (эксперт при Общественной палате города Нижнего Новгорода, компания Асгард);</w:t>
      </w:r>
    </w:p>
    <w:p>
      <w:pPr>
        <w:numPr>
          <w:ilvl w:val="0"/>
          <w:numId w:val="3"/>
        </w:numPr>
        <w:ind w:firstLine="855"/>
      </w:pPr>
      <w:r>
        <w:lastRenderedPageBreak/>
        <w:t>Нечаева, Азарова (экскурсоводы Нижнего Новгорода); - Рюрикова (Институт городской среды).</w:t>
      </w:r>
    </w:p>
    <w:p>
      <w:pPr>
        <w:spacing w:after="49"/>
        <w:ind w:left="33" w:firstLine="874"/>
      </w:pPr>
      <w:r>
        <w:t>1.3. В рамках открытого заседания рабочей группы «Архитектурам и градостроительство» Общественной палаты города Нижнего Новгорода 28.03.2019 обсудить следующие вопросы:</w:t>
      </w:r>
    </w:p>
    <w:p>
      <w:pPr>
        <w:numPr>
          <w:ilvl w:val="0"/>
          <w:numId w:val="3"/>
        </w:numPr>
        <w:ind w:firstLine="855"/>
      </w:pPr>
      <w:r>
        <w:t>формирование культурных программы фестиваля;</w:t>
      </w:r>
    </w:p>
    <w:p>
      <w:pPr>
        <w:numPr>
          <w:ilvl w:val="0"/>
          <w:numId w:val="3"/>
        </w:numPr>
        <w:ind w:firstLine="855"/>
      </w:pPr>
      <w:r>
        <w:t>привлечение спонсоров и партнеров мероприятия;</w:t>
      </w:r>
    </w:p>
    <w:p>
      <w:pPr>
        <w:numPr>
          <w:ilvl w:val="0"/>
          <w:numId w:val="3"/>
        </w:numPr>
        <w:spacing w:after="38"/>
        <w:ind w:firstLine="855"/>
      </w:pPr>
      <w:r>
        <w:t>взаимодействие с органами государственной и муниципальной власти при согласовании ТСФНН-2О19;</w:t>
      </w:r>
    </w:p>
    <w:p>
      <w:pPr>
        <w:numPr>
          <w:ilvl w:val="0"/>
          <w:numId w:val="3"/>
        </w:numPr>
        <w:spacing w:after="20" w:line="259" w:lineRule="auto"/>
        <w:ind w:firstLine="855"/>
      </w:pPr>
      <w:r>
        <w:t>взаимодействие в рамках ТСФНН-2019 с ТОС Нижегородского района;</w:t>
      </w:r>
    </w:p>
    <w:p>
      <w:pPr>
        <w:numPr>
          <w:ilvl w:val="0"/>
          <w:numId w:val="3"/>
        </w:numPr>
        <w:ind w:firstLine="855"/>
      </w:pPr>
      <w:r>
        <w:t>информирование и привлечение волонтеров на фестиваль;</w:t>
      </w:r>
    </w:p>
    <w:p>
      <w:pPr>
        <w:numPr>
          <w:ilvl w:val="0"/>
          <w:numId w:val="4"/>
        </w:numPr>
        <w:spacing w:after="3" w:line="271" w:lineRule="auto"/>
        <w:ind w:right="43" w:firstLine="845"/>
        <w:jc w:val="both"/>
      </w:pPr>
      <w:r>
        <w:rPr>
          <w:sz w:val="26"/>
        </w:rPr>
        <w:t>О результатах рассмотрения вопроса о внесения изменений в Закон Нижегородской области 37-3 «Об основах регулирования градостроительной деятельности...» в части упрощения процедур оформления инженерных сетей городской Думой города Нижнего Новгорода.</w:t>
      </w:r>
    </w:p>
    <w:p>
      <w:pPr>
        <w:spacing w:after="1" w:line="293" w:lineRule="auto"/>
        <w:ind w:left="23" w:right="23" w:firstLine="864"/>
        <w:jc w:val="both"/>
      </w:pPr>
      <w:r>
        <w:t>2.1. Принять к сведению информацию Иванова МС. о проведенном выступлении на заседании постоянной комиссии по развитию города, строительству и архитектуры городской Думы города Нижнего Новгорода и о поддержке депутатов данной инициативы с пометкой о необходимости дополнительной проработки, которую поручили правовому управлению городской Думы и департаменту строительства и капитального ремонта администрации города Нижнего Новгорода совместно с департаментом градостроительного развития и архитектуры.</w:t>
      </w:r>
    </w:p>
    <w:p>
      <w:pPr>
        <w:spacing w:after="3" w:line="271" w:lineRule="auto"/>
        <w:ind w:left="14" w:right="43" w:firstLine="845"/>
        <w:jc w:val="both"/>
      </w:pPr>
      <w:r>
        <w:rPr>
          <w:sz w:val="26"/>
        </w:rPr>
        <w:t>З. Обращение 00 «Региональная Национальная Культурная Автономия Татар Нижегородской области» об оказании содействия и экспертной поддержки по вопросам благоустройства в рамках проекта «Татарская аллея» вблизи парка им. 1 Мая»</w:t>
      </w:r>
    </w:p>
    <w:p>
      <w:pPr>
        <w:spacing w:after="849"/>
        <w:ind w:left="33" w:firstLine="855"/>
      </w:pPr>
      <w:r>
        <w:t>3.1. В связи с отсутствием достаточного объема информации по представленному обращению, рекомендовали члену городского совета Умярову связаться с данной организаций для определения конкретного вида желаемой поддержки.</w:t>
      </w:r>
    </w:p>
    <w:p>
      <w:pPr>
        <w:tabs>
          <w:tab w:val="center" w:pos="5391"/>
          <w:tab w:val="right" w:pos="9403"/>
        </w:tabs>
        <w:ind w:left="0" w:firstLine="0"/>
      </w:pPr>
      <w:r>
        <w:t>Председатель Рабочей группы</w:t>
      </w:r>
      <w:r>
        <w:tab/>
      </w:r>
      <w:r>
        <w:rPr>
          <w:noProof/>
        </w:rPr>
        <w:drawing>
          <wp:inline distT="0" distB="0" distL="0" distR="0">
            <wp:extent cx="1713782" cy="810845"/>
            <wp:effectExtent l="0" t="0" r="0" b="0"/>
            <wp:docPr id="2908" name="Picture 2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8" name="Picture 29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3782" cy="8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Иванов МС.</w:t>
      </w:r>
    </w:p>
    <w:sectPr>
      <w:pgSz w:w="11900" w:h="16840"/>
      <w:pgMar w:top="884" w:right="836" w:bottom="1479" w:left="1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7ECF"/>
    <w:multiLevelType w:val="hybridMultilevel"/>
    <w:tmpl w:val="5DDE607C"/>
    <w:lvl w:ilvl="0" w:tplc="14649F70">
      <w:start w:val="1"/>
      <w:numFmt w:val="bullet"/>
      <w:lvlText w:val="-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52EB92">
      <w:start w:val="1"/>
      <w:numFmt w:val="bullet"/>
      <w:lvlText w:val="o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E25A3C">
      <w:start w:val="1"/>
      <w:numFmt w:val="bullet"/>
      <w:lvlText w:val="▪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1EEEFA">
      <w:start w:val="1"/>
      <w:numFmt w:val="bullet"/>
      <w:lvlText w:val="•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5F08202">
      <w:start w:val="1"/>
      <w:numFmt w:val="bullet"/>
      <w:lvlText w:val="o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3CA026">
      <w:start w:val="1"/>
      <w:numFmt w:val="bullet"/>
      <w:lvlText w:val="▪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905D46">
      <w:start w:val="1"/>
      <w:numFmt w:val="bullet"/>
      <w:lvlText w:val="•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0863A8">
      <w:start w:val="1"/>
      <w:numFmt w:val="bullet"/>
      <w:lvlText w:val="o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3CFF76">
      <w:start w:val="1"/>
      <w:numFmt w:val="bullet"/>
      <w:lvlText w:val="▪"/>
      <w:lvlJc w:val="left"/>
      <w:pPr>
        <w:ind w:left="7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9F3D0D"/>
    <w:multiLevelType w:val="hybridMultilevel"/>
    <w:tmpl w:val="BD5C08B6"/>
    <w:lvl w:ilvl="0" w:tplc="ABA0BCB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E2876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8B18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F49B66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0C736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0CD37A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C76B0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44F6A4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7C5FD8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2F7215"/>
    <w:multiLevelType w:val="hybridMultilevel"/>
    <w:tmpl w:val="D91235B4"/>
    <w:lvl w:ilvl="0" w:tplc="82488FF0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38005C">
      <w:start w:val="1"/>
      <w:numFmt w:val="bullet"/>
      <w:lvlText w:val="o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7A9122">
      <w:start w:val="1"/>
      <w:numFmt w:val="bullet"/>
      <w:lvlText w:val="▪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0E11D0">
      <w:start w:val="1"/>
      <w:numFmt w:val="bullet"/>
      <w:lvlText w:val="•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B85168">
      <w:start w:val="1"/>
      <w:numFmt w:val="bullet"/>
      <w:lvlText w:val="o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CC2928">
      <w:start w:val="1"/>
      <w:numFmt w:val="bullet"/>
      <w:lvlText w:val="▪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240140">
      <w:start w:val="1"/>
      <w:numFmt w:val="bullet"/>
      <w:lvlText w:val="•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B2B182">
      <w:start w:val="1"/>
      <w:numFmt w:val="bullet"/>
      <w:lvlText w:val="o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7E8468">
      <w:start w:val="1"/>
      <w:numFmt w:val="bullet"/>
      <w:lvlText w:val="▪"/>
      <w:lvlJc w:val="left"/>
      <w:pPr>
        <w:ind w:left="7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E67FC2"/>
    <w:multiLevelType w:val="hybridMultilevel"/>
    <w:tmpl w:val="244CC7EA"/>
    <w:lvl w:ilvl="0" w:tplc="1A884750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61960">
      <w:start w:val="1"/>
      <w:numFmt w:val="lowerLetter"/>
      <w:lvlText w:val="%2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2E8F8A">
      <w:start w:val="1"/>
      <w:numFmt w:val="lowerRoman"/>
      <w:lvlText w:val="%3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2ED6A">
      <w:start w:val="1"/>
      <w:numFmt w:val="decimal"/>
      <w:lvlText w:val="%4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C73D2">
      <w:start w:val="1"/>
      <w:numFmt w:val="lowerLetter"/>
      <w:lvlText w:val="%5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4F622">
      <w:start w:val="1"/>
      <w:numFmt w:val="lowerRoman"/>
      <w:lvlText w:val="%6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D10">
      <w:start w:val="1"/>
      <w:numFmt w:val="decimal"/>
      <w:lvlText w:val="%7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20F54">
      <w:start w:val="1"/>
      <w:numFmt w:val="lowerLetter"/>
      <w:lvlText w:val="%8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440F4">
      <w:start w:val="1"/>
      <w:numFmt w:val="lowerRoman"/>
      <w:lvlText w:val="%9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F48270F-552D-45B0-A2CF-F9FFE5E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2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3110</Characters>
  <Application>Microsoft Office Word</Application>
  <DocSecurity>4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2019-04-11T22:16:00Z</dcterms:created>
  <dcterms:modified xsi:type="dcterms:W3CDTF">2019-04-11T22:16:00Z</dcterms:modified>
</cp:coreProperties>
</file>